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00" w:hanging="600"/>
        <w:jc w:val="both"/>
        <w:rPr>
          <w:rFonts w:ascii="宋体" w:hAnsi="宋体" w:eastAsia="宋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Hlk117668646"/>
      <w:r>
        <w:rPr>
          <w:rFonts w:hint="eastAsia" w:ascii="黑体" w:hAnsi="黑体" w:eastAsia="黑体" w:cs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ind w:left="801" w:hanging="801"/>
        <w:jc w:val="center"/>
        <w:rPr>
          <w:rFonts w:ascii="华文中宋" w:hAnsi="华文中宋" w:eastAsia="华文中宋"/>
          <w:b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远程考试设备及环境准备要求</w:t>
      </w:r>
    </w:p>
    <w:bookmarkEnd w:id="0"/>
    <w:p>
      <w:pPr>
        <w:ind w:left="0" w:firstLine="0" w:firstLineChars="0"/>
        <w:rPr>
          <w:rFonts w:ascii="华文中宋" w:hAnsi="华文中宋" w:eastAsia="华文中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left="0" w:firstLine="420" w:firstLineChars="200"/>
        <w:rPr>
          <w:rFonts w:ascii="华文中宋" w:hAnsi="华文中宋" w:eastAsia="华文中宋"/>
        </w:rPr>
      </w:pPr>
      <w:bookmarkStart w:id="1" w:name="_Hlk117668704"/>
      <w:r>
        <w:rPr>
          <w:rFonts w:hint="eastAsia" w:ascii="华文中宋" w:hAnsi="华文中宋" w:eastAsia="华文中宋"/>
        </w:rPr>
        <w:t>本次考试为在线考试形式，考生须提前准备</w:t>
      </w:r>
      <w:r>
        <w:rPr>
          <w:rFonts w:ascii="华文中宋" w:hAnsi="华文中宋" w:eastAsia="华文中宋"/>
        </w:rPr>
        <w:t>1台电脑作为考试设备、1部智能手机</w:t>
      </w:r>
      <w:r>
        <w:rPr>
          <w:rFonts w:hint="eastAsia" w:ascii="华文中宋" w:hAnsi="华文中宋" w:eastAsia="华文中宋"/>
        </w:rPr>
        <w:t>或平板设备</w:t>
      </w:r>
      <w:r>
        <w:rPr>
          <w:rFonts w:ascii="华文中宋" w:hAnsi="华文中宋" w:eastAsia="华文中宋"/>
        </w:rPr>
        <w:t>作为监控设</w:t>
      </w:r>
      <w:r>
        <w:rPr>
          <w:rFonts w:hint="eastAsia" w:ascii="华文中宋" w:hAnsi="华文中宋" w:eastAsia="华文中宋"/>
        </w:rPr>
        <w:t>备</w:t>
      </w:r>
      <w:r>
        <w:rPr>
          <w:rFonts w:ascii="华文中宋" w:hAnsi="华文中宋" w:eastAsia="华文中宋"/>
        </w:rPr>
        <w:t>，具体考试设备及环境要求如下:</w:t>
      </w:r>
      <w:bookmarkEnd w:id="1"/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13453154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用于在线考试的电脑：笔记本电脑或台式电脑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 xml:space="preserve"> 1台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-用于在线考试的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</w:t>
      </w:r>
      <w:bookmarkEnd w:id="2"/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3" w:name="_Toc113453156"/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台式机或笔记本电脑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>
      <w:pPr>
        <w:pStyle w:val="19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电脑操作系统要求为</w:t>
      </w:r>
      <w:r>
        <w:rPr>
          <w:rFonts w:ascii="华文中宋" w:hAnsi="华文中宋" w:eastAsia="华文中宋"/>
        </w:rPr>
        <w:t>Win7、Win10</w:t>
      </w:r>
      <w:r>
        <w:rPr>
          <w:rFonts w:hint="eastAsia" w:ascii="华文中宋" w:hAnsi="华文中宋" w:eastAsia="华文中宋"/>
        </w:rPr>
        <w:t>、Win</w:t>
      </w:r>
      <w:r>
        <w:rPr>
          <w:rFonts w:ascii="华文中宋" w:hAnsi="华文中宋" w:eastAsia="华文中宋"/>
        </w:rPr>
        <w:t>11或Mac OS 10.15</w:t>
      </w:r>
      <w:r>
        <w:rPr>
          <w:rFonts w:hint="eastAsia" w:ascii="华文中宋" w:hAnsi="华文中宋" w:eastAsia="华文中宋"/>
        </w:rPr>
        <w:t>.</w:t>
      </w:r>
      <w:r>
        <w:rPr>
          <w:rFonts w:ascii="华文中宋" w:hAnsi="华文中宋" w:eastAsia="华文中宋"/>
        </w:rPr>
        <w:t>7及以上</w:t>
      </w:r>
    </w:p>
    <w:p>
      <w:pPr>
        <w:pStyle w:val="19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最低配置要求为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CPU：双核；内存:4G；安装客户端硬盘空间&gt;2G</w:t>
      </w:r>
    </w:p>
    <w:p>
      <w:pPr>
        <w:pStyle w:val="19"/>
        <w:widowControl w:val="0"/>
        <w:numPr>
          <w:ilvl w:val="2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不得使用平板电脑或移动设备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摄像头：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内置或外置摄像头均可，用于登录拍照并作为考试的</w:t>
      </w: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主监控视角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摄像头。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扬声器：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电脑需配备可用的内置或外置扬声器，并提前调整扬声器音量到合适的大小。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麦克风：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电脑需配备可用的内置或外置麦克风。</w:t>
      </w:r>
    </w:p>
    <w:p>
      <w:pPr>
        <w:pStyle w:val="19"/>
        <w:widowControl w:val="0"/>
        <w:numPr>
          <w:ilvl w:val="0"/>
          <w:numId w:val="3"/>
        </w:numPr>
        <w:adjustRightInd/>
        <w:ind w:right="420" w:firstLineChars="0"/>
        <w:jc w:val="both"/>
        <w:rPr>
          <w:rFonts w:ascii="华文中宋" w:hAnsi="华文中宋" w:eastAsia="华文中宋"/>
          <w:color w:val="FF0000"/>
        </w:rPr>
      </w:pPr>
      <w:r>
        <w:rPr>
          <w:rFonts w:hint="eastAsia" w:ascii="华文中宋" w:hAnsi="华文中宋" w:eastAsia="华文中宋"/>
          <w:b/>
          <w:bCs/>
          <w:color w:val="FF0000"/>
        </w:rPr>
        <w:t>本次考试不允许使用耳机耳麦</w:t>
      </w:r>
    </w:p>
    <w:p>
      <w:pPr>
        <w:pStyle w:val="3"/>
        <w:numPr>
          <w:ilvl w:val="1"/>
          <w:numId w:val="4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4" w:name="_Toc29391"/>
      <w:bookmarkStart w:id="5" w:name="_Toc18322"/>
      <w:bookmarkStart w:id="6" w:name="_Toc15977"/>
      <w:bookmarkStart w:id="7" w:name="_Toc25665"/>
      <w:bookmarkStart w:id="8" w:name="_Toc19706"/>
      <w:bookmarkStart w:id="9" w:name="_Toc113472041"/>
      <w:bookmarkStart w:id="10" w:name="_Toc18702"/>
      <w:bookmarkStart w:id="11" w:name="_Toc1972"/>
      <w:bookmarkStart w:id="12" w:name="_Toc22316"/>
      <w:bookmarkStart w:id="13" w:name="_Toc22858"/>
      <w:bookmarkStart w:id="14" w:name="_Toc113569015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第二视角（鹰眼）监控的设备：智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能</w:t>
      </w:r>
      <w:r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或平板设备1部-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用于第二视角监控的设备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及支架</w:t>
      </w:r>
      <w:bookmarkEnd w:id="14"/>
    </w:p>
    <w:p>
      <w:pPr>
        <w:pStyle w:val="19"/>
        <w:numPr>
          <w:ilvl w:val="2"/>
          <w:numId w:val="5"/>
        </w:numPr>
        <w:ind w:leftChars="200" w:right="420" w:rightChars="20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带正常上网功能的</w:t>
      </w: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智</w:t>
      </w: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能</w:t>
      </w:r>
      <w:r>
        <w:rPr>
          <w:rFonts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或平板设备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，必须带有可正常工作的摄像头</w:t>
      </w:r>
    </w:p>
    <w:p>
      <w:pPr>
        <w:pStyle w:val="19"/>
        <w:numPr>
          <w:ilvl w:val="2"/>
          <w:numId w:val="5"/>
        </w:numPr>
        <w:ind w:leftChars="200" w:right="420" w:rightChars="20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需要在考前开启设备免打扰模式，并选择拒绝所有来电和提醒。（如果第二视角（鹰眼）监控的设备被打断掉线，可重新扫码登录）</w:t>
      </w:r>
    </w:p>
    <w:p>
      <w:pPr>
        <w:ind w:right="420" w:rightChars="20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第二视角（鹰眼）监控的设备（第二视角监控）推荐使用的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浏览器要求如下</w:t>
      </w:r>
    </w:p>
    <w:tbl>
      <w:tblPr>
        <w:tblStyle w:val="11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2129"/>
        <w:gridCol w:w="3126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tcBorders>
              <w:bottom w:val="single" w:color="auto" w:sz="4" w:space="0"/>
            </w:tcBorders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操作系统</w:t>
            </w:r>
          </w:p>
        </w:tc>
        <w:tc>
          <w:tcPr>
            <w:tcW w:w="2129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IOS</w:t>
            </w:r>
          </w:p>
        </w:tc>
        <w:tc>
          <w:tcPr>
            <w:tcW w:w="3126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Android</w:t>
            </w:r>
          </w:p>
        </w:tc>
        <w:tc>
          <w:tcPr>
            <w:tcW w:w="2444" w:type="dxa"/>
            <w:shd w:val="clear" w:color="auto" w:fill="00B05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鸿蒙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系统版本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IOS 1</w:t>
            </w:r>
            <w:r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Android 10+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HarmonyOS</w:t>
            </w:r>
            <w:r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2</w:t>
            </w: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浏览器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Safari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Edge、Chrome、华为花瓣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华为花瓣、Edge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55" w:type="dxa"/>
            <w:shd w:val="clear" w:color="auto" w:fill="00B050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摄像头</w:t>
            </w:r>
          </w:p>
        </w:tc>
        <w:tc>
          <w:tcPr>
            <w:tcW w:w="21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31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  <w:tc>
          <w:tcPr>
            <w:tcW w:w="244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中宋" w:hAnsi="华文中宋" w:eastAsia="华文中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</w:p>
        </w:tc>
      </w:tr>
    </w:tbl>
    <w:p>
      <w:pPr>
        <w:pStyle w:val="4"/>
        <w:ind w:left="400" w:hanging="400"/>
        <w:jc w:val="center"/>
        <w:rPr>
          <w:rFonts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表格 </w:t>
      </w:r>
      <w:r>
        <w:rPr>
          <w:rFonts w:ascii="华文中宋" w:hAnsi="华文中宋" w:eastAsia="华文中宋"/>
        </w:rPr>
        <w:fldChar w:fldCharType="begin"/>
      </w:r>
      <w:r>
        <w:rPr>
          <w:rFonts w:ascii="华文中宋" w:hAnsi="华文中宋" w:eastAsia="华文中宋"/>
        </w:rPr>
        <w:instrText xml:space="preserve"> </w:instrText>
      </w:r>
      <w:r>
        <w:rPr>
          <w:rFonts w:hint="eastAsia" w:ascii="华文中宋" w:hAnsi="华文中宋" w:eastAsia="华文中宋"/>
        </w:rPr>
        <w:instrText xml:space="preserve">SEQ 表格 \* ARABIC</w:instrText>
      </w:r>
      <w:r>
        <w:rPr>
          <w:rFonts w:ascii="华文中宋" w:hAnsi="华文中宋" w:eastAsia="华文中宋"/>
        </w:rPr>
        <w:instrText xml:space="preserve"> </w:instrText>
      </w:r>
      <w:r>
        <w:rPr>
          <w:rFonts w:ascii="华文中宋" w:hAnsi="华文中宋" w:eastAsia="华文中宋"/>
        </w:rPr>
        <w:fldChar w:fldCharType="separate"/>
      </w:r>
      <w:r>
        <w:rPr>
          <w:rFonts w:ascii="华文中宋" w:hAnsi="华文中宋" w:eastAsia="华文中宋"/>
        </w:rPr>
        <w:t>1</w:t>
      </w:r>
      <w:r>
        <w:rPr>
          <w:rFonts w:ascii="华文中宋" w:hAnsi="华文中宋" w:eastAsia="华文中宋"/>
        </w:rPr>
        <w:fldChar w:fldCharType="end"/>
      </w:r>
      <w:r>
        <w:rPr>
          <w:rFonts w:hint="eastAsia" w:ascii="华文中宋" w:hAnsi="华文中宋" w:eastAsia="华文中宋"/>
        </w:rPr>
        <w:t>第二视角监控设备浏览器要求</w:t>
      </w:r>
    </w:p>
    <w:p>
      <w:pPr>
        <w:spacing w:before="156" w:beforeLines="50" w:after="156" w:afterLines="50"/>
        <w:rPr>
          <w:rStyle w:val="13"/>
          <w:rFonts w:ascii="华文中宋" w:hAnsi="华文中宋" w:eastAsia="华文中宋"/>
          <w:bCs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ascii="华文中宋" w:hAnsi="华文中宋" w:eastAsia="华文中宋"/>
          <w:bCs/>
          <w:color w:val="000000" w:themeColor="text1"/>
          <w14:textFill>
            <w14:solidFill>
              <w14:schemeClr w14:val="tx1"/>
            </w14:solidFill>
          </w14:textFill>
        </w:rPr>
        <w:t>请注意：使用推荐的浏览器可获得较为稳定的考试体验，建议考生优先使用。</w:t>
      </w: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考试场所网络条件要求</w:t>
      </w:r>
      <w:bookmarkEnd w:id="3"/>
    </w:p>
    <w:p>
      <w:pPr>
        <w:pStyle w:val="19"/>
        <w:widowControl w:val="0"/>
        <w:numPr>
          <w:ilvl w:val="0"/>
          <w:numId w:val="3"/>
        </w:numPr>
        <w:adjustRightInd/>
        <w:ind w:firstLineChars="0"/>
        <w:jc w:val="both"/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考试场所应有</w:t>
      </w: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稳定的网络条件</w:t>
      </w: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，支持考试设备和监控设备同时联网。</w:t>
      </w:r>
    </w:p>
    <w:p>
      <w:pPr>
        <w:pStyle w:val="19"/>
        <w:widowControl w:val="0"/>
        <w:numPr>
          <w:ilvl w:val="0"/>
          <w:numId w:val="3"/>
        </w:numPr>
        <w:adjustRightInd/>
        <w:ind w:firstLineChars="0"/>
        <w:jc w:val="both"/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建议使用带宽50Mbps或以上的独立光纤网络；</w:t>
      </w:r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建议考生准备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4G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/5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G网络作为备用网络，并事先做好调试，以便出现网络故障时能迅速切换到备用网络继续考试。（一场2小时左右的考试，预计使用3GB的流量）</w:t>
      </w:r>
    </w:p>
    <w:p>
      <w:pPr>
        <w:ind w:left="210" w:leftChars="100" w:firstLine="210" w:firstLineChars="100"/>
        <w:rPr>
          <w:rFonts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请注意：考试期间如发生网络故障，考试系统会提醒考生。</w:t>
      </w:r>
    </w:p>
    <w:p>
      <w:pPr>
        <w:ind w:left="210" w:leftChars="100" w:firstLine="210" w:firstLineChars="100"/>
        <w:rPr>
          <w:rFonts w:ascii="华文中宋" w:hAnsi="华文中宋" w:eastAsia="华文中宋" w:cs="等线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2252345" cy="11334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9581" cy="11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djustRightInd/>
        <w:ind w:left="0" w:firstLine="420" w:firstLineChars="0"/>
        <w:jc w:val="both"/>
        <w:rPr>
          <w:rFonts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等线"/>
          <w:color w:val="000000" w:themeColor="text1"/>
          <w14:textFill>
            <w14:solidFill>
              <w14:schemeClr w14:val="tx1"/>
            </w14:solidFill>
          </w14:textFill>
        </w:rPr>
        <w:t>考中如考生看到异常提示后尽快排除网络故障或切换到备用网络。故障解决后，考生可重新进入考试继续作答，网络故障发生之前的作答结果会保存；但是，由于考试设备或网络故障导致考试时间的损失、或无法完成考试的，依据主办方的管理规定不会获得补时或补考的机会。</w:t>
      </w: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15" w:name="_Toc113453152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考试环境的要求</w:t>
      </w:r>
      <w:bookmarkEnd w:id="15"/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考生应选择安静、光线充足、独立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的室内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空间参加考试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考试全过程严格禁止无关人员出入考试场所。</w:t>
      </w:r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不建议在公共场所（如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公共教室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、图书馆、咖啡馆、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敞开式的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办公室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、交通工具内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等）考试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ind w:left="0" w:firstLine="420" w:firstLineChars="2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本场考试将使用双视角监控方案，（正面主视角+第二视角（鹰眼相结合的在线监控方式，考生应配合进行监控环境的布置以满足监控要求。</w:t>
      </w:r>
    </w:p>
    <w:p>
      <w:pPr>
        <w:ind w:left="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16" w:name="_Toc113453167"/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主视角设备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架设要求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：</w:t>
      </w:r>
      <w:bookmarkEnd w:id="16"/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考试设备摄像头在考试期间须全程开启，无遮挡，注意现场光线，避免背光、光线过强等情况影响监控质量；</w:t>
      </w:r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考试设备摄像头须保持正面面对考生，距离考生5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0CM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左右，考生完整的头部、肩部须处在监控范围内，并露出双耳，确保正面影像清晰可见；</w:t>
      </w:r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考试设备须电量充足，建议全程使用外接电源；</w:t>
      </w:r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进入考试系统前应关闭电脑上与考试无关网页和软件，包括安全卫士、电脑管家、各类通讯软件、音视频播放、直播软件及辅助上网工具（网络代理）等，以免由于网络冲突无法进入考试或被动弹窗导致被判定为违规；</w:t>
      </w:r>
    </w:p>
    <w:p>
      <w:pPr>
        <w:ind w:left="0" w:right="420" w:rightChars="20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numPr>
          <w:ilvl w:val="0"/>
          <w:numId w:val="2"/>
        </w:numPr>
        <w:spacing w:after="156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bookmarkStart w:id="17" w:name="_Toc113453168"/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第二视角（鹰眼）监控的设备架设要求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：</w:t>
      </w:r>
      <w:bookmarkEnd w:id="17"/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FF0000"/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第二视角（鹰眼）设备应放置在考生侧后方的稳定位置，应拍摄到考生</w:t>
      </w:r>
      <w:r>
        <w:rPr>
          <w:rFonts w:hint="eastAsia" w:ascii="华文中宋" w:hAnsi="华文中宋" w:eastAsia="华文中宋"/>
          <w:color w:val="FF0000"/>
        </w:rPr>
        <w:t>写字台桌面、考生双手的动作以及电脑屏幕的状态，须确保考试电脑屏幕、键盘、全身（注意手和键盘不要被身体遮挡）和桌面可见；</w:t>
      </w:r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请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将智能手机或平板设备固定摆放，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建议使用手机支架，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便于按要求调整到合适的位置和高度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；</w:t>
      </w:r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第二视角（鹰眼）监控</w: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设备电量充足，建议全程使用外接电源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，以免由于断电导致监考视频中断被判定为违规；</w:t>
      </w:r>
    </w:p>
    <w:p>
      <w:pPr>
        <w:pStyle w:val="19"/>
        <w:numPr>
          <w:ilvl w:val="0"/>
          <w:numId w:val="6"/>
        </w:numPr>
        <w:ind w:left="840" w:hanging="420" w:firstLineChars="0"/>
        <w:rPr>
          <w:rFonts w:ascii="华文中宋" w:hAnsi="华文中宋" w:eastAsia="华文中宋"/>
          <w:color w:val="FF0000"/>
        </w:rPr>
      </w:pPr>
      <w:r>
        <w:rPr>
          <w:rFonts w:ascii="华文中宋" w:hAnsi="华文中宋" w:eastAsia="华文中宋"/>
          <w:color w:val="FF0000"/>
        </w:rPr>
        <w:t>开启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第二视角（鹰眼）</w:t>
      </w:r>
      <w:r>
        <w:rPr>
          <w:rFonts w:ascii="华文中宋" w:hAnsi="华文中宋" w:eastAsia="华文中宋"/>
          <w:color w:val="FF0000"/>
        </w:rPr>
        <w:t>监控前应</w:t>
      </w:r>
      <w:r>
        <w:rPr>
          <w:rFonts w:hint="eastAsia" w:ascii="华文中宋" w:hAnsi="华文中宋" w:eastAsia="华文中宋"/>
          <w:color w:val="FF0000"/>
        </w:rPr>
        <w:t>关闭</w:t>
      </w:r>
      <w:r>
        <w:rPr>
          <w:rFonts w:ascii="华文中宋" w:hAnsi="华文中宋" w:eastAsia="华文中宋"/>
          <w:color w:val="FF0000"/>
        </w:rPr>
        <w:t>与考试无关应用的提醒功能，</w:t>
      </w:r>
      <w:r>
        <w:rPr>
          <w:rFonts w:hint="eastAsia" w:ascii="华文中宋" w:hAnsi="华文中宋" w:eastAsia="华文中宋"/>
          <w:color w:val="FF0000"/>
        </w:rPr>
        <w:t>将设备设置为静音，</w:t>
      </w:r>
      <w:r>
        <w:rPr>
          <w:rFonts w:ascii="华文中宋" w:hAnsi="华文中宋" w:eastAsia="华文中宋"/>
          <w:color w:val="FF0000"/>
        </w:rPr>
        <w:t>避免来电、微信、或其他应用打断监控过程</w:t>
      </w:r>
      <w:r>
        <w:rPr>
          <w:rFonts w:hint="eastAsia" w:ascii="华文中宋" w:hAnsi="华文中宋" w:eastAsia="华文中宋"/>
          <w:color w:val="FF0000"/>
        </w:rPr>
        <w:t>，需要在考前开启设备免打扰模式，并选择拒绝所有来电和提醒。（如果</w:t>
      </w:r>
      <w:r>
        <w:rPr>
          <w:rFonts w:hint="eastAsia" w:ascii="华文中宋" w:hAnsi="华文中宋" w:eastAsia="华文中宋"/>
          <w:color w:val="auto"/>
        </w:rPr>
        <w:t>第二视角（鹰眼）</w:t>
      </w:r>
      <w:r>
        <w:rPr>
          <w:rFonts w:hint="eastAsia" w:ascii="华文中宋" w:hAnsi="华文中宋" w:eastAsia="华文中宋"/>
          <w:color w:val="FF0000"/>
        </w:rPr>
        <w:t>监控被打断掉线，可重新扫码登录）</w:t>
      </w:r>
      <w:r>
        <w:rPr>
          <w:rFonts w:ascii="华文中宋" w:hAnsi="华文中宋" w:eastAsia="华文中宋"/>
          <w:color w:val="FF0000"/>
        </w:rPr>
        <w:t>。</w:t>
      </w:r>
    </w:p>
    <w:p>
      <w:pPr>
        <w:ind w:left="0" w:firstLine="0" w:firstLineChars="0"/>
        <w:rPr>
          <w:rFonts w:ascii="华文中宋" w:hAnsi="华文中宋" w:eastAsia="华文中宋"/>
          <w:b/>
          <w:bCs/>
          <w:color w:val="FF0000"/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bookmarkStart w:id="18" w:name="_GoBack"/>
      <w:bookmarkEnd w:id="18"/>
    </w:p>
    <w:p>
      <w:pPr>
        <w:ind w:left="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监控环境可参照以下示意图：</w:t>
      </w:r>
    </w:p>
    <w:p>
      <w:pP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2542540</wp:posOffset>
                </wp:positionV>
                <wp:extent cx="1962150" cy="635"/>
                <wp:effectExtent l="0" t="0" r="0" b="6985"/>
                <wp:wrapSquare wrapText="bothSides"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400" w:hanging="400"/>
                              <w:jc w:val="center"/>
                              <w:rPr>
                                <w:rFonts w:cs="宋体"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75pt;margin-top:200.2pt;height:0.05pt;width:154.5pt;mso-wrap-distance-bottom:0pt;mso-wrap-distance-left:9pt;mso-wrap-distance-right:9pt;mso-wrap-distance-top:0pt;z-index:251660288;mso-width-relative:page;mso-height-relative:page;" fillcolor="#FFFFFF" filled="t" stroked="f" coordsize="21600,21600" o:gfxdata="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+J8RgdoAAAALAQAADwAAAAAAAAABACAAAAAiAAAAZHJz&#10;L2Rvd25yZXYueG1sUEsBAhQAFAAAAAgAh07iQL5ctIo7AgAAdAQAAA4AAAAAAAAAAQAgAAAAKQEA&#10;AGRycy9lMm9Eb2MueG1sUEsFBgAAAAAGAAYAWQEAANYFAAAAAA=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2583180</wp:posOffset>
                </wp:positionV>
                <wp:extent cx="3547745" cy="635"/>
                <wp:effectExtent l="0" t="0" r="0" b="6985"/>
                <wp:wrapSquare wrapText="bothSides"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400" w:hanging="400"/>
                              <w:jc w:val="center"/>
                              <w:rPr>
                                <w:rFonts w:cs="宋体"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0.4pt;margin-top:203.4pt;height:0.05pt;width:279.35pt;mso-wrap-distance-bottom:0pt;mso-wrap-distance-left:9pt;mso-wrap-distance-right:9pt;mso-wrap-distance-top:0pt;z-index:251659264;mso-width-relative:page;mso-height-relative:page;" fillcolor="#FFFFFF" filled="t" stroked="f" coordsize="21600,21600" o:gfxdata="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n6w0C2wAAAAsBAAAPAAAAAAAAAAEAIAAAACIAAABk&#10;cnMvZG93bnJldi54bWxQSwECFAAUAAAACACHTuJAaBd3eTwCAAB0BAAADgAAAAAAAAABACAAAAAq&#10;AQAAZHJzL2Uyb0RvYy54bWxQSwUGAAAAAAYABgBZAQAA2A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cs="宋体"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418" w:hanging="417" w:hangingChars="199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华文中宋" w:hAnsi="华文中宋" w:eastAsia="华文中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3547745" cy="2110740"/>
            <wp:effectExtent l="0" t="0" r="0" b="3810"/>
            <wp:wrapSquare wrapText="bothSides"/>
            <wp:docPr id="1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418" w:hanging="418" w:hangingChars="199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1023620</wp:posOffset>
                </wp:positionH>
                <wp:positionV relativeFrom="paragraph">
                  <wp:posOffset>6985</wp:posOffset>
                </wp:positionV>
                <wp:extent cx="3390900" cy="190500"/>
                <wp:effectExtent l="0" t="0" r="0" b="0"/>
                <wp:wrapSquare wrapText="bothSides"/>
                <wp:docPr id="15479851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ind w:left="400" w:hanging="400"/>
                              <w:jc w:val="center"/>
                              <w:rPr>
                                <w:rFonts w:ascii="华文中宋" w:hAnsi="华文中宋" w:eastAsia="华文中宋" w:cs="宋体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监控视角展示图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80.6pt;margin-top:0.55pt;height:15pt;width:267pt;mso-position-horizontal-relative:margin;mso-wrap-distance-bottom:0pt;mso-wrap-distance-left:9pt;mso-wrap-distance-right:9pt;mso-wrap-distance-top:0pt;z-index:251662336;mso-width-relative:page;mso-height-relative:page;" fillcolor="#FFFFFF" filled="t" stroked="f" coordsize="21600,21600" o:gfxdata="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PxqpfVAAAACAEAAA8AAAAAAAAAAQAgAAAAIgAA&#10;AGRycy9kb3ducmV2LnhtbFBLAQIUABQAAAAIAIdO4kAKr6FVRAIAAH4EAAAOAAAAAAAAAAEAIAAA&#10;ACQBAABkcnMvZTJvRG9jLnhtbFBLBQYAAAAABgAGAFkBAADa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ind w:left="400" w:hanging="400"/>
                        <w:jc w:val="center"/>
                        <w:rPr>
                          <w:rFonts w:ascii="华文中宋" w:hAnsi="华文中宋" w:eastAsia="华文中宋" w:cs="宋体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监控视角展示图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9"/>
        <w:ind w:left="0" w:firstLine="420" w:firstLineChars="20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请注意：</w:t>
      </w: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考试过程的中采集的监控信息，将只允许考试主办方查阅，作为判定考生是否遵守考试规则的辅助依据；不会用在除此之外的其他用途。</w:t>
      </w: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0" w:firstLine="0" w:firstLineChars="0"/>
        <w:rPr>
          <w:rFonts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特别提示：第二视角（鹰眼）设备-用于第二视角监控的设备应设置为在充电时永不息屏，设置方式如下：</w:t>
      </w:r>
    </w:p>
    <w:p>
      <w:pPr>
        <w:pStyle w:val="19"/>
        <w:numPr>
          <w:ilvl w:val="0"/>
          <w:numId w:val="7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iOS设备：在设置-显示与亮度-自动锁定内，设置为“永不”。</w:t>
      </w:r>
    </w:p>
    <w:p>
      <w:pPr>
        <w:pStyle w:val="19"/>
        <w:numPr>
          <w:ilvl w:val="0"/>
          <w:numId w:val="7"/>
        </w:numPr>
        <w:ind w:left="420" w:firstLine="42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  <w:t>安卓设备：安卓手机需先开启“开发人员选项/开发者选项”，由于每个品牌机型的开发者选项操作步骤不同，请自行搜索本人手机品牌的开发者选项如何开启。开启开发者选项后，在开发者选项内，开启“不锁定屏幕（充电时屏幕不会休眠）”。</w:t>
      </w:r>
    </w:p>
    <w:p>
      <w:pPr>
        <w:pStyle w:val="19"/>
        <w:widowControl w:val="0"/>
        <w:spacing w:line="360" w:lineRule="auto"/>
        <w:ind w:left="840" w:firstLine="0" w:firstLineChars="0"/>
        <w:jc w:val="center"/>
        <w:rPr>
          <w:rFonts w:ascii="微软雅黑 Light" w:hAnsi="微软雅黑 Light" w:eastAsia="微软雅黑 Light" w:cs="仿宋"/>
          <w:color w:val="000000" w:themeColor="text1"/>
          <w:sz w:val="2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05940" cy="2234565"/>
            <wp:effectExtent l="0" t="0" r="3810" b="0"/>
            <wp:docPr id="195" name="图片 19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图片 19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1265" cy="225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firstLine="0" w:firstLineChars="0"/>
        <w:rPr>
          <w:rFonts w:ascii="华文中宋" w:hAnsi="华文中宋" w:eastAsia="华文中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hanging="420"/>
      </w:pPr>
      <w:r>
        <w:separator/>
      </w:r>
    </w:p>
  </w:endnote>
  <w:endnote w:type="continuationSeparator" w:id="1">
    <w:p>
      <w:pPr>
        <w:ind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hanging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hanging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60" w:hanging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hanging="420"/>
      </w:pPr>
      <w:r>
        <w:separator/>
      </w:r>
    </w:p>
  </w:footnote>
  <w:footnote w:type="continuationSeparator" w:id="1">
    <w:p>
      <w:pPr>
        <w:ind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hanging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hanging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360" w:hanging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22AC2"/>
    <w:multiLevelType w:val="multilevel"/>
    <w:tmpl w:val="0A422AC2"/>
    <w:lvl w:ilvl="0" w:tentative="0">
      <w:start w:val="1"/>
      <w:numFmt w:val="bullet"/>
      <w:lvlText w:val=""/>
      <w:lvlJc w:val="left"/>
      <w:pPr>
        <w:ind w:left="845" w:hanging="425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1.%2.%3.%4."/>
      <w:lvlJc w:val="left"/>
      <w:pPr>
        <w:ind w:left="1271" w:hanging="851"/>
      </w:pPr>
    </w:lvl>
    <w:lvl w:ilvl="4" w:tentative="0">
      <w:start w:val="1"/>
      <w:numFmt w:val="decimal"/>
      <w:lvlText w:val="%1.%2.%3.%4.%5."/>
      <w:lvlJc w:val="left"/>
      <w:pPr>
        <w:ind w:left="1412" w:hanging="992"/>
      </w:pPr>
    </w:lvl>
    <w:lvl w:ilvl="5" w:tentative="0">
      <w:start w:val="1"/>
      <w:numFmt w:val="decimal"/>
      <w:lvlText w:val="%1.%2.%3.%4.%5.%6."/>
      <w:lvlJc w:val="left"/>
      <w:pPr>
        <w:ind w:left="1554" w:hanging="1134"/>
      </w:pPr>
    </w:lvl>
    <w:lvl w:ilvl="6" w:tentative="0">
      <w:start w:val="1"/>
      <w:numFmt w:val="decimal"/>
      <w:lvlText w:val="%1.%2.%3.%4.%5.%6.%7."/>
      <w:lvlJc w:val="left"/>
      <w:pPr>
        <w:ind w:left="1696" w:hanging="1276"/>
      </w:pPr>
    </w:lvl>
    <w:lvl w:ilvl="7" w:tentative="0">
      <w:start w:val="1"/>
      <w:numFmt w:val="decimal"/>
      <w:lvlText w:val="%1.%2.%3.%4.%5.%6.%7.%8."/>
      <w:lvlJc w:val="left"/>
      <w:pPr>
        <w:ind w:left="1838" w:hanging="1418"/>
      </w:pPr>
    </w:lvl>
    <w:lvl w:ilvl="8" w:tentative="0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1">
    <w:nsid w:val="197D121E"/>
    <w:multiLevelType w:val="multilevel"/>
    <w:tmpl w:val="197D121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AF861A9"/>
    <w:multiLevelType w:val="multilevel"/>
    <w:tmpl w:val="4AF861A9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54A4604B"/>
    <w:multiLevelType w:val="multilevel"/>
    <w:tmpl w:val="54A4604B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54BC7539"/>
    <w:multiLevelType w:val="multilevel"/>
    <w:tmpl w:val="54BC7539"/>
    <w:lvl w:ilvl="0" w:tentative="0">
      <w:start w:val="1"/>
      <w:numFmt w:val="bullet"/>
      <w:lvlText w:val=""/>
      <w:lvlJc w:val="left"/>
      <w:pPr>
        <w:ind w:left="845" w:hanging="425"/>
      </w:pPr>
      <w:rPr>
        <w:rFonts w:hint="default" w:ascii="Wingdings" w:hAnsi="Wingdings"/>
      </w:rPr>
    </w:lvl>
    <w:lvl w:ilvl="1" w:tentative="0">
      <w:start w:val="1"/>
      <w:numFmt w:val="bullet"/>
      <w:lvlText w:val="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o"/>
      <w:lvlJc w:val="left"/>
      <w:pPr>
        <w:ind w:left="1271" w:hanging="420"/>
      </w:pPr>
      <w:rPr>
        <w:rFonts w:hint="default" w:ascii="Courier New" w:hAnsi="Courier New" w:cs="Courier New"/>
      </w:rPr>
    </w:lvl>
    <w:lvl w:ilvl="3" w:tentative="0">
      <w:start w:val="1"/>
      <w:numFmt w:val="decimal"/>
      <w:lvlText w:val="%1.%2.%3.%4."/>
      <w:lvlJc w:val="left"/>
      <w:pPr>
        <w:ind w:left="1271" w:hanging="851"/>
      </w:pPr>
    </w:lvl>
    <w:lvl w:ilvl="4" w:tentative="0">
      <w:start w:val="1"/>
      <w:numFmt w:val="decimal"/>
      <w:lvlText w:val="%1.%2.%3.%4.%5."/>
      <w:lvlJc w:val="left"/>
      <w:pPr>
        <w:ind w:left="1412" w:hanging="992"/>
      </w:pPr>
    </w:lvl>
    <w:lvl w:ilvl="5" w:tentative="0">
      <w:start w:val="1"/>
      <w:numFmt w:val="decimal"/>
      <w:lvlText w:val="%1.%2.%3.%4.%5.%6."/>
      <w:lvlJc w:val="left"/>
      <w:pPr>
        <w:ind w:left="1554" w:hanging="1134"/>
      </w:pPr>
    </w:lvl>
    <w:lvl w:ilvl="6" w:tentative="0">
      <w:start w:val="1"/>
      <w:numFmt w:val="decimal"/>
      <w:lvlText w:val="%1.%2.%3.%4.%5.%6.%7."/>
      <w:lvlJc w:val="left"/>
      <w:pPr>
        <w:ind w:left="1696" w:hanging="1276"/>
      </w:pPr>
    </w:lvl>
    <w:lvl w:ilvl="7" w:tentative="0">
      <w:start w:val="1"/>
      <w:numFmt w:val="decimal"/>
      <w:lvlText w:val="%1.%2.%3.%4.%5.%6.%7.%8."/>
      <w:lvlJc w:val="left"/>
      <w:pPr>
        <w:ind w:left="1838" w:hanging="1418"/>
      </w:pPr>
    </w:lvl>
    <w:lvl w:ilvl="8" w:tentative="0">
      <w:start w:val="1"/>
      <w:numFmt w:val="decimal"/>
      <w:lvlText w:val="%1.%2.%3.%4.%5.%6.%7.%8.%9."/>
      <w:lvlJc w:val="left"/>
      <w:pPr>
        <w:ind w:left="1979" w:hanging="1559"/>
      </w:pPr>
    </w:lvl>
  </w:abstractNum>
  <w:abstractNum w:abstractNumId="5">
    <w:nsid w:val="768E06AD"/>
    <w:multiLevelType w:val="multilevel"/>
    <w:tmpl w:val="768E06A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770222"/>
    <w:multiLevelType w:val="multilevel"/>
    <w:tmpl w:val="7D770222"/>
    <w:lvl w:ilvl="0" w:tentative="0">
      <w:start w:val="1"/>
      <w:numFmt w:val="decimal"/>
      <w:pStyle w:val="3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yYjZhZTVhMDcyM2M5NWE1YzQ2NDdiYWVlYzI1ZGQifQ=="/>
  </w:docVars>
  <w:rsids>
    <w:rsidRoot w:val="00E546F4"/>
    <w:rsid w:val="000325B1"/>
    <w:rsid w:val="0005775C"/>
    <w:rsid w:val="000D055C"/>
    <w:rsid w:val="000F0A77"/>
    <w:rsid w:val="001246BF"/>
    <w:rsid w:val="00143E9A"/>
    <w:rsid w:val="001D39B5"/>
    <w:rsid w:val="001E6A77"/>
    <w:rsid w:val="00225C3A"/>
    <w:rsid w:val="00265C4E"/>
    <w:rsid w:val="002B7724"/>
    <w:rsid w:val="002F4515"/>
    <w:rsid w:val="003149C2"/>
    <w:rsid w:val="00321B74"/>
    <w:rsid w:val="003971F9"/>
    <w:rsid w:val="003E3836"/>
    <w:rsid w:val="00497B00"/>
    <w:rsid w:val="004E26BA"/>
    <w:rsid w:val="0050053E"/>
    <w:rsid w:val="0054156C"/>
    <w:rsid w:val="0054486D"/>
    <w:rsid w:val="005C6EA8"/>
    <w:rsid w:val="005E6B28"/>
    <w:rsid w:val="006F5BA9"/>
    <w:rsid w:val="0070320B"/>
    <w:rsid w:val="00765C30"/>
    <w:rsid w:val="00796F3C"/>
    <w:rsid w:val="007A78F7"/>
    <w:rsid w:val="0085300E"/>
    <w:rsid w:val="00882880"/>
    <w:rsid w:val="008A4A1D"/>
    <w:rsid w:val="009923B6"/>
    <w:rsid w:val="00A0484F"/>
    <w:rsid w:val="00A516DC"/>
    <w:rsid w:val="00A84E29"/>
    <w:rsid w:val="00B601CA"/>
    <w:rsid w:val="00B761EB"/>
    <w:rsid w:val="00BC71AB"/>
    <w:rsid w:val="00BF1028"/>
    <w:rsid w:val="00C7688A"/>
    <w:rsid w:val="00D167F3"/>
    <w:rsid w:val="00D23CEC"/>
    <w:rsid w:val="00D40805"/>
    <w:rsid w:val="00D531C7"/>
    <w:rsid w:val="00D6114C"/>
    <w:rsid w:val="00E546F4"/>
    <w:rsid w:val="00E7526F"/>
    <w:rsid w:val="00ED3EA6"/>
    <w:rsid w:val="00F01D23"/>
    <w:rsid w:val="00F44206"/>
    <w:rsid w:val="00F83F8A"/>
    <w:rsid w:val="00F961D0"/>
    <w:rsid w:val="00FC2329"/>
    <w:rsid w:val="0C394428"/>
    <w:rsid w:val="1E610C99"/>
    <w:rsid w:val="1F325FA1"/>
    <w:rsid w:val="23250B58"/>
    <w:rsid w:val="239A7798"/>
    <w:rsid w:val="23A93537"/>
    <w:rsid w:val="33482D6D"/>
    <w:rsid w:val="4235270E"/>
    <w:rsid w:val="4A996A9B"/>
    <w:rsid w:val="4EA215B1"/>
    <w:rsid w:val="4F8B5C9F"/>
    <w:rsid w:val="5FF217E7"/>
    <w:rsid w:val="65CB7944"/>
    <w:rsid w:val="6B5339E5"/>
    <w:rsid w:val="77A53DF2"/>
    <w:rsid w:val="7A67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ind w:left="420" w:hanging="420" w:hangingChars="200"/>
    </w:pPr>
    <w:rPr>
      <w:rFonts w:cs="宋体" w:asciiTheme="minorEastAsia" w:hAnsiTheme="minorEastAsia" w:eastAsiaTheme="minorEastAsia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numPr>
        <w:ilvl w:val="0"/>
        <w:numId w:val="1"/>
      </w:numPr>
      <w:adjustRightInd/>
      <w:snapToGrid/>
      <w:spacing w:before="120" w:after="50" w:afterLines="50"/>
      <w:ind w:firstLine="0" w:firstLineChars="0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5">
    <w:name w:val="annotation text"/>
    <w:basedOn w:val="1"/>
    <w:link w:val="23"/>
    <w:semiHidden/>
    <w:unhideWhenUsed/>
    <w:qFormat/>
    <w:uiPriority w:val="99"/>
  </w:style>
  <w:style w:type="paragraph" w:styleId="6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footnote text"/>
    <w:basedOn w:val="1"/>
    <w:link w:val="20"/>
    <w:unhideWhenUsed/>
    <w:qFormat/>
    <w:uiPriority w:val="0"/>
    <w:rPr>
      <w:sz w:val="18"/>
      <w:szCs w:val="18"/>
    </w:rPr>
  </w:style>
  <w:style w:type="paragraph" w:styleId="10">
    <w:name w:val="annotation subject"/>
    <w:basedOn w:val="5"/>
    <w:next w:val="5"/>
    <w:link w:val="24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rFonts w:asciiTheme="minorHAnsi" w:hAnsiTheme="minorHAnsi" w:eastAsiaTheme="minorEastAsia"/>
      <w:b/>
      <w:color w:val="00B050"/>
      <w:sz w:val="21"/>
    </w:rPr>
  </w:style>
  <w:style w:type="character" w:styleId="14">
    <w:name w:val="FollowedHyperlink"/>
    <w:basedOn w:val="1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styleId="17">
    <w:name w:val="footnote reference"/>
    <w:basedOn w:val="12"/>
    <w:semiHidden/>
    <w:unhideWhenUsed/>
    <w:qFormat/>
    <w:uiPriority w:val="0"/>
    <w:rPr>
      <w:vertAlign w:val="superscript"/>
    </w:rPr>
  </w:style>
  <w:style w:type="character" w:customStyle="1" w:styleId="18">
    <w:name w:val="标题 2 字符"/>
    <w:basedOn w:val="12"/>
    <w:link w:val="3"/>
    <w:qFormat/>
    <w:uiPriority w:val="0"/>
    <w:rPr>
      <w:rFonts w:asciiTheme="majorHAnsi" w:hAnsiTheme="majorHAnsi" w:eastAsiaTheme="majorEastAsia" w:cstheme="majorBidi"/>
      <w:b/>
      <w:bCs/>
      <w:kern w:val="0"/>
      <w:szCs w:val="32"/>
    </w:rPr>
  </w:style>
  <w:style w:type="paragraph" w:styleId="19">
    <w:name w:val="List Paragraph"/>
    <w:basedOn w:val="1"/>
    <w:qFormat/>
    <w:uiPriority w:val="0"/>
    <w:pPr>
      <w:ind w:left="200" w:hanging="200"/>
    </w:pPr>
  </w:style>
  <w:style w:type="character" w:customStyle="1" w:styleId="20">
    <w:name w:val="脚注文本 字符"/>
    <w:basedOn w:val="12"/>
    <w:link w:val="9"/>
    <w:qFormat/>
    <w:uiPriority w:val="0"/>
    <w:rPr>
      <w:rFonts w:cs="宋体" w:asciiTheme="minorEastAsia" w:hAnsiTheme="minorEastAsia"/>
      <w:kern w:val="0"/>
      <w:sz w:val="18"/>
      <w:szCs w:val="18"/>
    </w:rPr>
  </w:style>
  <w:style w:type="character" w:customStyle="1" w:styleId="21">
    <w:name w:val="页眉 字符"/>
    <w:basedOn w:val="12"/>
    <w:link w:val="8"/>
    <w:qFormat/>
    <w:uiPriority w:val="99"/>
    <w:rPr>
      <w:rFonts w:cs="宋体" w:asciiTheme="minorEastAsia" w:hAnsiTheme="minorEastAsia"/>
      <w:kern w:val="0"/>
      <w:sz w:val="18"/>
      <w:szCs w:val="18"/>
    </w:rPr>
  </w:style>
  <w:style w:type="character" w:customStyle="1" w:styleId="22">
    <w:name w:val="页脚 字符"/>
    <w:basedOn w:val="12"/>
    <w:link w:val="7"/>
    <w:qFormat/>
    <w:uiPriority w:val="99"/>
    <w:rPr>
      <w:rFonts w:cs="宋体" w:asciiTheme="minorEastAsia" w:hAnsiTheme="minorEastAsia"/>
      <w:kern w:val="0"/>
      <w:sz w:val="18"/>
      <w:szCs w:val="18"/>
    </w:rPr>
  </w:style>
  <w:style w:type="character" w:customStyle="1" w:styleId="23">
    <w:name w:val="批注文字 字符"/>
    <w:basedOn w:val="12"/>
    <w:link w:val="5"/>
    <w:semiHidden/>
    <w:qFormat/>
    <w:uiPriority w:val="99"/>
    <w:rPr>
      <w:rFonts w:cs="宋体" w:asciiTheme="minorEastAsia" w:hAnsiTheme="minorEastAsia"/>
      <w:kern w:val="0"/>
      <w:szCs w:val="21"/>
    </w:rPr>
  </w:style>
  <w:style w:type="character" w:customStyle="1" w:styleId="24">
    <w:name w:val="批注主题 字符"/>
    <w:basedOn w:val="23"/>
    <w:link w:val="10"/>
    <w:semiHidden/>
    <w:qFormat/>
    <w:uiPriority w:val="99"/>
    <w:rPr>
      <w:rFonts w:cs="宋体" w:asciiTheme="minorEastAsia" w:hAnsiTheme="minorEastAsia"/>
      <w:b/>
      <w:bCs/>
      <w:kern w:val="0"/>
      <w:szCs w:val="21"/>
    </w:rPr>
  </w:style>
  <w:style w:type="character" w:customStyle="1" w:styleId="25">
    <w:name w:val="批注框文本 字符"/>
    <w:basedOn w:val="12"/>
    <w:link w:val="6"/>
    <w:semiHidden/>
    <w:qFormat/>
    <w:uiPriority w:val="99"/>
    <w:rPr>
      <w:rFonts w:cs="宋体" w:asciiTheme="minorEastAsia" w:hAnsiTheme="minorEastAsia"/>
      <w:kern w:val="0"/>
      <w:sz w:val="18"/>
      <w:szCs w:val="18"/>
    </w:rPr>
  </w:style>
  <w:style w:type="character" w:customStyle="1" w:styleId="26">
    <w:name w:val="标题 1 字符"/>
    <w:basedOn w:val="12"/>
    <w:link w:val="2"/>
    <w:qFormat/>
    <w:uiPriority w:val="9"/>
    <w:rPr>
      <w:rFonts w:cs="宋体" w:asciiTheme="minorEastAsia" w:hAnsiTheme="minorEastAsia"/>
      <w:b/>
      <w:bCs/>
      <w:kern w:val="44"/>
      <w:sz w:val="44"/>
      <w:szCs w:val="44"/>
    </w:rPr>
  </w:style>
  <w:style w:type="paragraph" w:customStyle="1" w:styleId="27">
    <w:name w:val="修订1"/>
    <w:hidden/>
    <w:semiHidden/>
    <w:qFormat/>
    <w:uiPriority w:val="99"/>
    <w:rPr>
      <w:rFonts w:cs="宋体" w:asciiTheme="minorEastAsia" w:hAnsiTheme="minorEastAsia" w:eastAsiaTheme="minorEastAsia"/>
      <w:sz w:val="21"/>
      <w:szCs w:val="21"/>
      <w:lang w:val="en-US" w:eastAsia="zh-CN" w:bidi="ar-SA"/>
    </w:rPr>
  </w:style>
  <w:style w:type="paragraph" w:customStyle="1" w:styleId="28">
    <w:name w:val="修订2"/>
    <w:hidden/>
    <w:semiHidden/>
    <w:qFormat/>
    <w:uiPriority w:val="99"/>
    <w:rPr>
      <w:rFonts w:cs="宋体" w:asciiTheme="minorEastAsia" w:hAnsiTheme="minorEastAsia" w:eastAsiaTheme="minorEastAsia"/>
      <w:sz w:val="21"/>
      <w:szCs w:val="21"/>
      <w:lang w:val="en-US" w:eastAsia="zh-CN" w:bidi="ar-SA"/>
    </w:rPr>
  </w:style>
  <w:style w:type="paragraph" w:customStyle="1" w:styleId="29">
    <w:name w:val="Revision"/>
    <w:hidden/>
    <w:semiHidden/>
    <w:uiPriority w:val="99"/>
    <w:rPr>
      <w:rFonts w:cs="宋体" w:asciiTheme="minorEastAsia" w:hAnsiTheme="minorEastAsia" w:eastAsiaTheme="minorEastAsia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3.png"/><Relationship Id="rId14" Type="http://schemas.openxmlformats.org/officeDocument/2006/relationships/hyperlink" Target="https://ali-pro-km.udeskcs.com/Data/33455/oss-km-image/XsB5ZidzWkp6fkHiNj6SdCZzH73MWrxs/image.png" TargetMode="Externa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284F76-7236-474D-B587-1C5529B6A3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1784</Words>
  <Characters>1871</Characters>
  <Lines>14</Lines>
  <Paragraphs>4</Paragraphs>
  <TotalTime>7</TotalTime>
  <ScaleCrop>false</ScaleCrop>
  <LinksUpToDate>false</LinksUpToDate>
  <CharactersWithSpaces>1878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2024-07-09T08:50:00Z</dcterms:created>
  <dc:creator>Zhangwei</dc:creator>
  <cp:lastModifiedBy>武文科</cp:lastModifiedBy>
  <dcterms:modified xsi:type="dcterms:W3CDTF">2024-07-15T08:39:00Z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CEFB107FF5ED4CC7A04AA621F2CA493F</vt:lpwstr>
  </property>
</Properties>
</file>